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FA7072" w14:textId="0094A207" w:rsidR="00F6093D" w:rsidRDefault="00CB0F4E">
      <w:r>
        <w:t>Déroulement des matchs Avec l’accord de la FFPJP, la durée de jeu sera de : - Une heure et 30 minutes en doublettes - Une heure et 45 minutes en triplettes La notion de deux mènes supplémentaires, prévue dans le règlement du CNC JP, s’appliquera à chaque rencontre.</w:t>
      </w:r>
    </w:p>
    <w:sectPr w:rsidR="00F609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0F4E"/>
    <w:rsid w:val="00CB0F4E"/>
    <w:rsid w:val="00F609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45D8B4E"/>
  <w15:chartTrackingRefBased/>
  <w15:docId w15:val="{87F8345E-19A9-4C52-AF8D-2CA102973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40</Words>
  <Characters>226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Comité Départemental de Pétanque</dc:creator>
  <cp:keywords/>
  <dc:description/>
  <cp:lastModifiedBy>Comité Départemental de Pétanque</cp:lastModifiedBy>
  <cp:revision>1</cp:revision>
  <dcterms:created xsi:type="dcterms:W3CDTF">2023-02-02T12:23:00Z</dcterms:created>
  <dcterms:modified xsi:type="dcterms:W3CDTF">2023-02-02T12:24:00Z</dcterms:modified>
</cp:coreProperties>
</file>